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58DE" w:rsidRPr="00F854D5" w:rsidRDefault="002158DE" w:rsidP="002158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54D5">
        <w:rPr>
          <w:rFonts w:ascii="Times New Roman" w:hAnsi="Times New Roman" w:cs="Times New Roman"/>
          <w:b/>
          <w:sz w:val="28"/>
          <w:szCs w:val="28"/>
        </w:rPr>
        <w:t>Динамика результативности реализации</w:t>
      </w:r>
    </w:p>
    <w:p w:rsidR="002158DE" w:rsidRDefault="002158DE" w:rsidP="002158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F854D5">
        <w:rPr>
          <w:rFonts w:ascii="Times New Roman" w:hAnsi="Times New Roman" w:cs="Times New Roman"/>
          <w:b/>
          <w:sz w:val="28"/>
          <w:szCs w:val="28"/>
        </w:rPr>
        <w:t>рограммы «</w:t>
      </w:r>
      <w:r>
        <w:rPr>
          <w:rFonts w:ascii="Times New Roman" w:hAnsi="Times New Roman" w:cs="Times New Roman"/>
          <w:b/>
          <w:sz w:val="28"/>
          <w:szCs w:val="28"/>
        </w:rPr>
        <w:t>АБВГдейка</w:t>
      </w:r>
      <w:r w:rsidRPr="00F854D5">
        <w:rPr>
          <w:rFonts w:ascii="Times New Roman" w:hAnsi="Times New Roman" w:cs="Times New Roman"/>
          <w:b/>
          <w:sz w:val="28"/>
          <w:szCs w:val="28"/>
        </w:rPr>
        <w:t>»</w:t>
      </w:r>
    </w:p>
    <w:p w:rsidR="002158DE" w:rsidRPr="006F2F65" w:rsidRDefault="00A1004F" w:rsidP="006F2F65">
      <w:pPr>
        <w:contextualSpacing/>
        <w:jc w:val="both"/>
        <w:rPr>
          <w:sz w:val="28"/>
          <w:szCs w:val="28"/>
        </w:rPr>
      </w:pPr>
      <w:r w:rsidRPr="00A1004F">
        <w:rPr>
          <w:rFonts w:ascii="Times New Roman" w:hAnsi="Times New Roman" w:cs="Times New Roman"/>
          <w:sz w:val="28"/>
          <w:szCs w:val="28"/>
        </w:rPr>
        <w:t>Для</w:t>
      </w:r>
      <w:r w:rsidR="006F2F65">
        <w:rPr>
          <w:rFonts w:ascii="Times New Roman" w:hAnsi="Times New Roman" w:cs="Times New Roman"/>
          <w:sz w:val="28"/>
          <w:szCs w:val="28"/>
        </w:rPr>
        <w:t xml:space="preserve"> отслеживания результативности </w:t>
      </w:r>
      <w:r w:rsidRPr="00A1004F">
        <w:rPr>
          <w:rFonts w:ascii="Times New Roman" w:hAnsi="Times New Roman" w:cs="Times New Roman"/>
          <w:sz w:val="28"/>
          <w:szCs w:val="28"/>
        </w:rPr>
        <w:t>учащихся по дополнительной п</w:t>
      </w:r>
      <w:r w:rsidR="006F2F65">
        <w:rPr>
          <w:rFonts w:ascii="Times New Roman" w:hAnsi="Times New Roman" w:cs="Times New Roman"/>
          <w:sz w:val="28"/>
          <w:szCs w:val="28"/>
        </w:rPr>
        <w:t xml:space="preserve">рограмме «АБВГдейка» педагогом </w:t>
      </w:r>
      <w:r w:rsidRPr="00A1004F">
        <w:rPr>
          <w:rFonts w:ascii="Times New Roman" w:hAnsi="Times New Roman" w:cs="Times New Roman"/>
          <w:sz w:val="28"/>
          <w:szCs w:val="28"/>
        </w:rPr>
        <w:t>провод</w:t>
      </w:r>
      <w:r w:rsidR="006F2F65">
        <w:rPr>
          <w:rFonts w:ascii="Times New Roman" w:hAnsi="Times New Roman" w:cs="Times New Roman"/>
          <w:sz w:val="28"/>
          <w:szCs w:val="28"/>
        </w:rPr>
        <w:t>ится мониторинг  навыков</w:t>
      </w:r>
      <w:r w:rsidR="002158DE">
        <w:rPr>
          <w:rFonts w:ascii="Times New Roman" w:hAnsi="Times New Roman" w:cs="Times New Roman"/>
          <w:sz w:val="28"/>
          <w:szCs w:val="28"/>
        </w:rPr>
        <w:t xml:space="preserve"> чтения и письма, развитие лексико-грамматических категорий, развитие связной речи.</w:t>
      </w:r>
    </w:p>
    <w:p w:rsidR="002158DE" w:rsidRDefault="002158DE" w:rsidP="002158D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Уровень развития и совершенствование учащихся в процессе реализации программы  определяется проведением диагностики в начале года, в полугодии  и в конце учебного года. </w:t>
      </w:r>
    </w:p>
    <w:p w:rsidR="002158DE" w:rsidRDefault="002158DE" w:rsidP="002158DE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процессе обучения проводится комплекс мероприятий по мотивации учащихся к занятиям.</w:t>
      </w:r>
    </w:p>
    <w:p w:rsidR="007F7138" w:rsidRDefault="005E26AA" w:rsidP="007F7138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-32385</wp:posOffset>
            </wp:positionH>
            <wp:positionV relativeFrom="paragraph">
              <wp:posOffset>535940</wp:posOffset>
            </wp:positionV>
            <wp:extent cx="5915025" cy="2971800"/>
            <wp:effectExtent l="19050" t="0" r="9525" b="0"/>
            <wp:wrapTopAndBottom/>
            <wp:docPr id="2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anchor>
        </w:drawing>
      </w:r>
      <w:r w:rsidR="002158DE" w:rsidRPr="002158DE">
        <w:rPr>
          <w:rFonts w:ascii="Times New Roman" w:hAnsi="Times New Roman" w:cs="Times New Roman"/>
          <w:sz w:val="28"/>
          <w:szCs w:val="28"/>
        </w:rPr>
        <w:t>На диаграмме представлены данные мониторинга учащихся по программе «АБВГдейка» в период с 2019 – 2020 год обучения.</w:t>
      </w:r>
    </w:p>
    <w:p w:rsidR="007F7138" w:rsidRDefault="007F7138" w:rsidP="007F7138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F7138" w:rsidRPr="002158DE" w:rsidRDefault="007F7138" w:rsidP="007F713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-33020</wp:posOffset>
            </wp:positionH>
            <wp:positionV relativeFrom="paragraph">
              <wp:posOffset>490855</wp:posOffset>
            </wp:positionV>
            <wp:extent cx="6048375" cy="2809875"/>
            <wp:effectExtent l="19050" t="0" r="9525" b="0"/>
            <wp:wrapThrough wrapText="bothSides">
              <wp:wrapPolygon edited="0">
                <wp:start x="-68" y="0"/>
                <wp:lineTo x="-68" y="21527"/>
                <wp:lineTo x="21634" y="21527"/>
                <wp:lineTo x="21634" y="0"/>
                <wp:lineTo x="-68" y="0"/>
              </wp:wrapPolygon>
            </wp:wrapThrough>
            <wp:docPr id="6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anchor>
        </w:drawing>
      </w:r>
      <w:r w:rsidRPr="002158DE">
        <w:rPr>
          <w:rFonts w:ascii="Times New Roman" w:hAnsi="Times New Roman" w:cs="Times New Roman"/>
          <w:sz w:val="28"/>
          <w:szCs w:val="28"/>
        </w:rPr>
        <w:t>На диаграмме представлены данные мониторинга учащихся по программе «АБВГдейка</w:t>
      </w:r>
      <w:r>
        <w:rPr>
          <w:rFonts w:ascii="Times New Roman" w:hAnsi="Times New Roman" w:cs="Times New Roman"/>
          <w:sz w:val="28"/>
          <w:szCs w:val="28"/>
        </w:rPr>
        <w:t>» в период с 2020</w:t>
      </w:r>
      <w:r w:rsidRPr="002158DE">
        <w:rPr>
          <w:rFonts w:ascii="Times New Roman" w:hAnsi="Times New Roman" w:cs="Times New Roman"/>
          <w:sz w:val="28"/>
          <w:szCs w:val="28"/>
        </w:rPr>
        <w:t xml:space="preserve"> – 202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2158DE">
        <w:rPr>
          <w:rFonts w:ascii="Times New Roman" w:hAnsi="Times New Roman" w:cs="Times New Roman"/>
          <w:sz w:val="28"/>
          <w:szCs w:val="28"/>
        </w:rPr>
        <w:t xml:space="preserve"> год обучения.</w:t>
      </w:r>
    </w:p>
    <w:p w:rsidR="002158DE" w:rsidRDefault="002158DE" w:rsidP="002158D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158DE" w:rsidRPr="00665261" w:rsidRDefault="00EE5446" w:rsidP="00DB37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5261">
        <w:rPr>
          <w:rFonts w:ascii="Times New Roman" w:hAnsi="Times New Roman" w:cs="Times New Roman"/>
          <w:sz w:val="28"/>
          <w:szCs w:val="28"/>
        </w:rPr>
        <w:t xml:space="preserve">На диаграмме представлены данные </w:t>
      </w:r>
      <w:r w:rsidR="001003C7" w:rsidRPr="00665261">
        <w:rPr>
          <w:rFonts w:ascii="Times New Roman" w:hAnsi="Times New Roman" w:cs="Times New Roman"/>
          <w:sz w:val="28"/>
          <w:szCs w:val="28"/>
        </w:rPr>
        <w:t xml:space="preserve">мониторинга </w:t>
      </w:r>
      <w:r w:rsidR="00DB37B4">
        <w:rPr>
          <w:rFonts w:ascii="Times New Roman" w:hAnsi="Times New Roman" w:cs="Times New Roman"/>
          <w:sz w:val="28"/>
          <w:szCs w:val="28"/>
        </w:rPr>
        <w:t xml:space="preserve">учащихся по </w:t>
      </w:r>
      <w:r w:rsidRPr="00665261">
        <w:rPr>
          <w:rFonts w:ascii="Times New Roman" w:hAnsi="Times New Roman" w:cs="Times New Roman"/>
          <w:sz w:val="28"/>
          <w:szCs w:val="28"/>
        </w:rPr>
        <w:t xml:space="preserve">программе </w:t>
      </w:r>
      <w:r w:rsidR="001003C7" w:rsidRPr="00665261">
        <w:rPr>
          <w:rFonts w:ascii="Times New Roman" w:hAnsi="Times New Roman" w:cs="Times New Roman"/>
          <w:sz w:val="28"/>
          <w:szCs w:val="28"/>
        </w:rPr>
        <w:t>«АБВГдейка»</w:t>
      </w:r>
      <w:r w:rsidR="00665261" w:rsidRPr="00665261">
        <w:rPr>
          <w:rFonts w:ascii="Times New Roman" w:hAnsi="Times New Roman" w:cs="Times New Roman"/>
          <w:sz w:val="28"/>
          <w:szCs w:val="28"/>
        </w:rPr>
        <w:t xml:space="preserve"> на начало учебного года</w:t>
      </w:r>
    </w:p>
    <w:p w:rsidR="002158DE" w:rsidRDefault="00DB37B4" w:rsidP="004541B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-32385</wp:posOffset>
            </wp:positionH>
            <wp:positionV relativeFrom="paragraph">
              <wp:posOffset>90170</wp:posOffset>
            </wp:positionV>
            <wp:extent cx="6048375" cy="2438400"/>
            <wp:effectExtent l="19050" t="0" r="9525" b="0"/>
            <wp:wrapThrough wrapText="bothSides">
              <wp:wrapPolygon edited="0">
                <wp:start x="-68" y="0"/>
                <wp:lineTo x="-68" y="21600"/>
                <wp:lineTo x="21634" y="21600"/>
                <wp:lineTo x="21634" y="0"/>
                <wp:lineTo x="-68" y="0"/>
              </wp:wrapPolygon>
            </wp:wrapThrough>
            <wp:docPr id="21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anchor>
        </w:drawing>
      </w:r>
    </w:p>
    <w:p w:rsidR="002158DE" w:rsidRDefault="002158DE" w:rsidP="004541B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58DE" w:rsidRDefault="002158DE" w:rsidP="004541B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020DF" w:rsidRDefault="000020DF" w:rsidP="000020DF">
      <w:pPr>
        <w:pStyle w:val="a5"/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Успешность детей определяется не только высокими результатами освоения программы, высокими знаниями, но и в индивидуальном росте каждого учащегося. У учащихся развита связная речь, сформированы навыки чтения и письма,  что особенно важно для будущего школьника. </w:t>
      </w:r>
    </w:p>
    <w:p w:rsidR="002158DE" w:rsidRDefault="002158DE" w:rsidP="004541B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58DE" w:rsidRDefault="002158DE" w:rsidP="004541B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58DE" w:rsidRDefault="002158DE" w:rsidP="004541B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58DE" w:rsidRDefault="002158DE" w:rsidP="004541B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58DE" w:rsidRDefault="002158DE" w:rsidP="004541B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58DE" w:rsidRDefault="002158DE" w:rsidP="004541B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58DE" w:rsidRDefault="002158DE" w:rsidP="004541B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58DE" w:rsidRDefault="002158DE" w:rsidP="004541B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58DE" w:rsidRDefault="002158DE" w:rsidP="004541B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58DE" w:rsidRDefault="002158DE" w:rsidP="004541B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58DE" w:rsidRDefault="002158DE" w:rsidP="004541B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58DE" w:rsidRDefault="002158DE" w:rsidP="004541B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58DE" w:rsidRDefault="002158DE" w:rsidP="004541B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58DE" w:rsidRDefault="002158DE" w:rsidP="004541B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58DE" w:rsidRDefault="002158DE" w:rsidP="004541B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58DE" w:rsidRDefault="002158DE" w:rsidP="004541B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58DE" w:rsidRDefault="002158DE" w:rsidP="004541B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58DE" w:rsidRDefault="002158DE" w:rsidP="004541B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58DE" w:rsidRDefault="002158DE" w:rsidP="004541B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58DE" w:rsidRDefault="002158DE" w:rsidP="004541B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58DE" w:rsidRDefault="002158DE" w:rsidP="004541B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58DE" w:rsidRDefault="002158DE" w:rsidP="004541B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58DE" w:rsidRDefault="002158DE" w:rsidP="004541B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58DE" w:rsidRDefault="002158DE" w:rsidP="004541B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58DE" w:rsidRDefault="002158DE" w:rsidP="004541B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58DE" w:rsidRDefault="002158DE" w:rsidP="00DB37B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B37B4" w:rsidRDefault="00DB37B4" w:rsidP="00DB37B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B37B4" w:rsidRDefault="00DB37B4" w:rsidP="00DB37B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864B9" w:rsidRDefault="006864B9" w:rsidP="006864B9">
      <w:pPr>
        <w:jc w:val="center"/>
      </w:pPr>
    </w:p>
    <w:sectPr w:rsidR="006864B9" w:rsidSect="007F7138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977BD"/>
    <w:rsid w:val="000020DF"/>
    <w:rsid w:val="00035441"/>
    <w:rsid w:val="000728E7"/>
    <w:rsid w:val="000977BD"/>
    <w:rsid w:val="000C5413"/>
    <w:rsid w:val="000D4A67"/>
    <w:rsid w:val="001003C7"/>
    <w:rsid w:val="001E39E5"/>
    <w:rsid w:val="002158DE"/>
    <w:rsid w:val="00237259"/>
    <w:rsid w:val="00390D8D"/>
    <w:rsid w:val="00417920"/>
    <w:rsid w:val="004541B2"/>
    <w:rsid w:val="00495ED2"/>
    <w:rsid w:val="005E26AA"/>
    <w:rsid w:val="00657EC3"/>
    <w:rsid w:val="00665261"/>
    <w:rsid w:val="0067741F"/>
    <w:rsid w:val="006864B9"/>
    <w:rsid w:val="006F2F65"/>
    <w:rsid w:val="007F7138"/>
    <w:rsid w:val="008717A3"/>
    <w:rsid w:val="00A1004F"/>
    <w:rsid w:val="00AA6706"/>
    <w:rsid w:val="00C43298"/>
    <w:rsid w:val="00C73D87"/>
    <w:rsid w:val="00D45550"/>
    <w:rsid w:val="00DB37B4"/>
    <w:rsid w:val="00E07714"/>
    <w:rsid w:val="00E3403B"/>
    <w:rsid w:val="00EE5446"/>
    <w:rsid w:val="00F549C0"/>
    <w:rsid w:val="00FB2E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#ffc000" strokecolor="none [1951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8E7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7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77B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158DE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A100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946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3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>
        <c:manualLayout>
          <c:layoutTarget val="inner"/>
          <c:xMode val="edge"/>
          <c:yMode val="edge"/>
          <c:x val="0.10653277793012199"/>
          <c:y val="5.028736792516323E-2"/>
          <c:w val="0.86253590662011981"/>
          <c:h val="0.85586701662292264"/>
        </c:manualLayout>
      </c:layout>
      <c:bar3DChart>
        <c:barDir val="col"/>
        <c:grouping val="standard"/>
        <c:ser>
          <c:idx val="0"/>
          <c:order val="0"/>
          <c:tx>
            <c:strRef>
              <c:f>Лист1!$B$1</c:f>
              <c:strCache>
                <c:ptCount val="1"/>
                <c:pt idx="0">
                  <c:v>начало  учебного года</c:v>
                </c:pt>
              </c:strCache>
            </c:strRef>
          </c:tx>
          <c:spPr>
            <a:solidFill>
              <a:srgbClr val="FF0000"/>
            </a:solidFill>
          </c:spPr>
          <c:dLbls>
            <c:dLbl>
              <c:idx val="0"/>
              <c:layout>
                <c:manualLayout>
                  <c:x val="8.5882984433709071E-3"/>
                  <c:y val="-3.3050339861363492E-2"/>
                </c:manualLayout>
              </c:layout>
              <c:showVal val="1"/>
            </c:dLbl>
            <c:txPr>
              <a:bodyPr/>
              <a:lstStyle/>
              <a:p>
                <a:pPr>
                  <a:defRPr sz="1400"/>
                </a:pPr>
                <a:endParaRPr lang="ru-RU"/>
              </a:p>
            </c:txPr>
            <c:showVal val="1"/>
          </c:dLbls>
          <c:cat>
            <c:strRef>
              <c:f>Лист1!$A$2:$A$3</c:f>
              <c:strCache>
                <c:ptCount val="2"/>
                <c:pt idx="0">
                  <c:v>       </c:v>
                </c:pt>
                <c:pt idx="1">
                  <c:v>               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 formatCode="0%">
                  <c:v>0.41000000000000025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промежуточная диагностика</c:v>
                </c:pt>
              </c:strCache>
            </c:strRef>
          </c:tx>
          <c:spPr>
            <a:solidFill>
              <a:schemeClr val="accent4">
                <a:lumMod val="75000"/>
              </a:schemeClr>
            </a:solidFill>
          </c:spPr>
          <c:dLbls>
            <c:dLbl>
              <c:idx val="0"/>
              <c:layout>
                <c:manualLayout>
                  <c:x val="2.3188177564760899E-2"/>
                  <c:y val="-2.8776902887139157E-2"/>
                </c:manualLayout>
              </c:layout>
              <c:showVal val="1"/>
            </c:dLbl>
            <c:delete val="1"/>
          </c:dLbls>
          <c:cat>
            <c:strRef>
              <c:f>Лист1!$A$2:$A$3</c:f>
              <c:strCache>
                <c:ptCount val="2"/>
                <c:pt idx="0">
                  <c:v>       </c:v>
                </c:pt>
                <c:pt idx="1">
                  <c:v>               </c:v>
                </c:pt>
              </c:strCache>
            </c:strRef>
          </c:cat>
          <c:val>
            <c:numRef>
              <c:f>Лист1!$C$2:$C$3</c:f>
              <c:numCache>
                <c:formatCode>General</c:formatCode>
                <c:ptCount val="2"/>
                <c:pt idx="0" formatCode="0%">
                  <c:v>0.61000000000000054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конец  учебного года</c:v>
                </c:pt>
              </c:strCache>
            </c:strRef>
          </c:tx>
          <c:spPr>
            <a:solidFill>
              <a:schemeClr val="accent3">
                <a:lumMod val="75000"/>
              </a:schemeClr>
            </a:solidFill>
          </c:spPr>
          <c:dPt>
            <c:idx val="1"/>
            <c:spPr>
              <a:noFill/>
            </c:spPr>
          </c:dPt>
          <c:dLbls>
            <c:dLbl>
              <c:idx val="0"/>
              <c:layout>
                <c:manualLayout>
                  <c:x val="1.5029522275899094E-2"/>
                  <c:y val="-2.5641025641025657E-2"/>
                </c:manualLayout>
              </c:layout>
              <c:showVal val="1"/>
            </c:dLbl>
            <c:dLbl>
              <c:idx val="1"/>
              <c:delete val="1"/>
            </c:dLbl>
            <c:txPr>
              <a:bodyPr/>
              <a:lstStyle/>
              <a:p>
                <a:pPr>
                  <a:defRPr sz="1400"/>
                </a:pPr>
                <a:endParaRPr lang="ru-RU"/>
              </a:p>
            </c:txPr>
            <c:showVal val="1"/>
          </c:dLbls>
          <c:cat>
            <c:strRef>
              <c:f>Лист1!$A$2:$A$3</c:f>
              <c:strCache>
                <c:ptCount val="2"/>
                <c:pt idx="0">
                  <c:v>       </c:v>
                </c:pt>
                <c:pt idx="1">
                  <c:v>               </c:v>
                </c:pt>
              </c:strCache>
            </c:strRef>
          </c:cat>
          <c:val>
            <c:numRef>
              <c:f>Лист1!$D$2:$D$3</c:f>
              <c:numCache>
                <c:formatCode>0%</c:formatCode>
                <c:ptCount val="2"/>
                <c:pt idx="0">
                  <c:v>0.88000000000000023</c:v>
                </c:pt>
                <c:pt idx="1">
                  <c:v>1</c:v>
                </c:pt>
              </c:numCache>
            </c:numRef>
          </c:val>
        </c:ser>
        <c:shape val="box"/>
        <c:axId val="89685376"/>
        <c:axId val="89699456"/>
        <c:axId val="84123136"/>
      </c:bar3DChart>
      <c:catAx>
        <c:axId val="89685376"/>
        <c:scaling>
          <c:orientation val="minMax"/>
        </c:scaling>
        <c:delete val="1"/>
        <c:axPos val="b"/>
        <c:tickLblPos val="nextTo"/>
        <c:crossAx val="89699456"/>
        <c:crosses val="autoZero"/>
        <c:auto val="1"/>
        <c:lblAlgn val="ctr"/>
        <c:lblOffset val="100"/>
      </c:catAx>
      <c:valAx>
        <c:axId val="89699456"/>
        <c:scaling>
          <c:orientation val="minMax"/>
        </c:scaling>
        <c:axPos val="l"/>
        <c:majorGridlines/>
        <c:numFmt formatCode="0%" sourceLinked="1"/>
        <c:tickLblPos val="nextTo"/>
        <c:txPr>
          <a:bodyPr/>
          <a:lstStyle/>
          <a:p>
            <a:pPr>
              <a:defRPr sz="1100" b="1">
                <a:solidFill>
                  <a:schemeClr val="accent1">
                    <a:lumMod val="50000"/>
                  </a:schemeClr>
                </a:solidFill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89685376"/>
        <c:crosses val="autoZero"/>
        <c:crossBetween val="between"/>
      </c:valAx>
      <c:serAx>
        <c:axId val="84123136"/>
        <c:scaling>
          <c:orientation val="minMax"/>
        </c:scaling>
        <c:delete val="1"/>
        <c:axPos val="b"/>
        <c:tickLblPos val="nextTo"/>
        <c:crossAx val="89699456"/>
        <c:crosses val="autoZero"/>
      </c:serAx>
    </c:plotArea>
    <c:legend>
      <c:legendPos val="r"/>
      <c:layout>
        <c:manualLayout>
          <c:xMode val="edge"/>
          <c:yMode val="edge"/>
          <c:x val="0.63391684735060294"/>
          <c:y val="4.5058550373511003E-2"/>
          <c:w val="0.33538188323474527"/>
          <c:h val="0.87160845278955557"/>
        </c:manualLayout>
      </c:layout>
      <c:spPr>
        <a:solidFill>
          <a:schemeClr val="tx2">
            <a:lumMod val="20000"/>
            <a:lumOff val="80000"/>
          </a:schemeClr>
        </a:solidFill>
      </c:spPr>
      <c:txPr>
        <a:bodyPr/>
        <a:lstStyle/>
        <a:p>
          <a:pPr>
            <a:defRPr sz="1200" b="0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</c:chart>
  <c:spPr>
    <a:ln w="15875">
      <a:solidFill>
        <a:schemeClr val="accent1"/>
      </a:solidFill>
    </a:ln>
  </c:spPr>
  <c:txPr>
    <a:bodyPr/>
    <a:lstStyle/>
    <a:p>
      <a:pPr>
        <a:defRPr sz="1800"/>
      </a:pPr>
      <a:endParaRPr lang="ru-RU"/>
    </a:p>
  </c:tx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>
        <c:manualLayout>
          <c:layoutTarget val="inner"/>
          <c:xMode val="edge"/>
          <c:yMode val="edge"/>
          <c:x val="0.10345191890383781"/>
          <c:y val="3.2929934605631934E-2"/>
          <c:w val="0.86253590662012025"/>
          <c:h val="0.90795029527559201"/>
        </c:manualLayout>
      </c:layout>
      <c:bar3DChart>
        <c:barDir val="col"/>
        <c:grouping val="standard"/>
        <c:ser>
          <c:idx val="0"/>
          <c:order val="0"/>
          <c:tx>
            <c:strRef>
              <c:f>Лист1!$B$1</c:f>
              <c:strCache>
                <c:ptCount val="1"/>
                <c:pt idx="0">
                  <c:v>начало учебного года</c:v>
                </c:pt>
              </c:strCache>
            </c:strRef>
          </c:tx>
          <c:spPr>
            <a:solidFill>
              <a:srgbClr val="00B0F0"/>
            </a:solidFill>
          </c:spPr>
          <c:dLbls>
            <c:dLbl>
              <c:idx val="0"/>
              <c:layout>
                <c:manualLayout>
                  <c:x val="1.4698162729658792E-2"/>
                  <c:y val="-3.329685484229724E-2"/>
                </c:manualLayout>
              </c:layout>
              <c:showVal val="1"/>
            </c:dLbl>
            <c:txPr>
              <a:bodyPr/>
              <a:lstStyle/>
              <a:p>
                <a:pPr>
                  <a:defRPr sz="1400"/>
                </a:pPr>
                <a:endParaRPr lang="ru-RU"/>
              </a:p>
            </c:txPr>
            <c:showVal val="1"/>
          </c:dLbls>
          <c:cat>
            <c:strRef>
              <c:f>Лист1!$A$2:$A$3</c:f>
              <c:strCache>
                <c:ptCount val="2"/>
                <c:pt idx="0">
                  <c:v>       </c:v>
                </c:pt>
                <c:pt idx="1">
                  <c:v>               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 formatCode="0%">
                  <c:v>0.42000000000000032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промежуточная диагностика</c:v>
                </c:pt>
              </c:strCache>
            </c:strRef>
          </c:tx>
          <c:spPr>
            <a:solidFill>
              <a:schemeClr val="accent2">
                <a:lumMod val="75000"/>
              </a:schemeClr>
            </a:solidFill>
          </c:spPr>
          <c:dLbls>
            <c:dLbl>
              <c:idx val="0"/>
              <c:layout>
                <c:manualLayout>
                  <c:x val="2.3485150970301946E-2"/>
                  <c:y val="-2.8088438097780142E-2"/>
                </c:manualLayout>
              </c:layout>
              <c:tx>
                <c:rich>
                  <a:bodyPr/>
                  <a:lstStyle/>
                  <a:p>
                    <a:r>
                      <a:rPr lang="en-US">
                        <a:solidFill>
                          <a:sysClr val="windowText" lastClr="000000"/>
                        </a:solidFill>
                      </a:rPr>
                      <a:t>73%</a:t>
                    </a:r>
                  </a:p>
                </c:rich>
              </c:tx>
              <c:showVal val="1"/>
            </c:dLbl>
            <c:delete val="1"/>
          </c:dLbls>
          <c:cat>
            <c:strRef>
              <c:f>Лист1!$A$2:$A$3</c:f>
              <c:strCache>
                <c:ptCount val="2"/>
                <c:pt idx="0">
                  <c:v>       </c:v>
                </c:pt>
                <c:pt idx="1">
                  <c:v>               </c:v>
                </c:pt>
              </c:strCache>
            </c:strRef>
          </c:cat>
          <c:val>
            <c:numRef>
              <c:f>Лист1!$C$2:$C$3</c:f>
              <c:numCache>
                <c:formatCode>General</c:formatCode>
                <c:ptCount val="2"/>
                <c:pt idx="0" formatCode="0%">
                  <c:v>0.73000000000000065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   конец учебного года</c:v>
                </c:pt>
              </c:strCache>
            </c:strRef>
          </c:tx>
          <c:spPr>
            <a:solidFill>
              <a:srgbClr val="7030A0"/>
            </a:solidFill>
          </c:spPr>
          <c:dLbls>
            <c:dLbl>
              <c:idx val="0"/>
              <c:layout>
                <c:manualLayout>
                  <c:x val="1.8897637795275597E-2"/>
                  <c:y val="-3.6158192090395468E-2"/>
                </c:manualLayout>
              </c:layout>
              <c:showVal val="1"/>
            </c:dLbl>
            <c:dLbl>
              <c:idx val="1"/>
              <c:delete val="1"/>
            </c:dLbl>
            <c:txPr>
              <a:bodyPr/>
              <a:lstStyle/>
              <a:p>
                <a:pPr>
                  <a:defRPr sz="1600"/>
                </a:pPr>
                <a:endParaRPr lang="ru-RU"/>
              </a:p>
            </c:txPr>
            <c:showVal val="1"/>
          </c:dLbls>
          <c:cat>
            <c:strRef>
              <c:f>Лист1!$A$2:$A$3</c:f>
              <c:strCache>
                <c:ptCount val="2"/>
                <c:pt idx="0">
                  <c:v>       </c:v>
                </c:pt>
                <c:pt idx="1">
                  <c:v>               </c:v>
                </c:pt>
              </c:strCache>
            </c:strRef>
          </c:cat>
          <c:val>
            <c:numRef>
              <c:f>Лист1!$D$2:$D$3</c:f>
              <c:numCache>
                <c:formatCode>0%</c:formatCode>
                <c:ptCount val="2"/>
                <c:pt idx="0">
                  <c:v>0.85000000000000064</c:v>
                </c:pt>
                <c:pt idx="1">
                  <c:v>1</c:v>
                </c:pt>
              </c:numCache>
            </c:numRef>
          </c:val>
        </c:ser>
        <c:shape val="box"/>
        <c:axId val="12571776"/>
        <c:axId val="12573312"/>
        <c:axId val="89687808"/>
      </c:bar3DChart>
      <c:catAx>
        <c:axId val="12571776"/>
        <c:scaling>
          <c:orientation val="minMax"/>
        </c:scaling>
        <c:delete val="1"/>
        <c:axPos val="b"/>
        <c:tickLblPos val="nextTo"/>
        <c:crossAx val="12573312"/>
        <c:crosses val="autoZero"/>
        <c:auto val="1"/>
        <c:lblAlgn val="ctr"/>
        <c:lblOffset val="100"/>
      </c:catAx>
      <c:valAx>
        <c:axId val="12573312"/>
        <c:scaling>
          <c:orientation val="minMax"/>
        </c:scaling>
        <c:axPos val="l"/>
        <c:majorGridlines/>
        <c:numFmt formatCode="0%" sourceLinked="1"/>
        <c:tickLblPos val="nextTo"/>
        <c:txPr>
          <a:bodyPr/>
          <a:lstStyle/>
          <a:p>
            <a:pPr>
              <a:defRPr sz="1100" b="1">
                <a:solidFill>
                  <a:schemeClr val="accent1">
                    <a:lumMod val="50000"/>
                  </a:schemeClr>
                </a:solidFill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2571776"/>
        <c:crosses val="autoZero"/>
        <c:crossBetween val="between"/>
      </c:valAx>
      <c:serAx>
        <c:axId val="89687808"/>
        <c:scaling>
          <c:orientation val="minMax"/>
        </c:scaling>
        <c:delete val="1"/>
        <c:axPos val="b"/>
        <c:tickLblPos val="nextTo"/>
        <c:crossAx val="12573312"/>
        <c:crosses val="autoZero"/>
      </c:serAx>
    </c:plotArea>
    <c:legend>
      <c:legendPos val="r"/>
      <c:layout>
        <c:manualLayout>
          <c:xMode val="edge"/>
          <c:yMode val="edge"/>
          <c:x val="0.63481563229793159"/>
          <c:y val="4.7975799635215088E-2"/>
          <c:w val="0.33095950254540446"/>
          <c:h val="0.89362053472129543"/>
        </c:manualLayout>
      </c:layout>
      <c:spPr>
        <a:solidFill>
          <a:schemeClr val="tx2">
            <a:lumMod val="20000"/>
            <a:lumOff val="80000"/>
          </a:schemeClr>
        </a:solidFill>
      </c:spPr>
      <c:txPr>
        <a:bodyPr/>
        <a:lstStyle/>
        <a:p>
          <a:pPr>
            <a:defRPr sz="1200" b="0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</c:chart>
  <c:spPr>
    <a:ln w="15875">
      <a:solidFill>
        <a:schemeClr val="accent1"/>
      </a:solidFill>
    </a:ln>
  </c:spPr>
  <c:txPr>
    <a:bodyPr/>
    <a:lstStyle/>
    <a:p>
      <a:pPr>
        <a:defRPr sz="1800"/>
      </a:pPr>
      <a:endParaRPr lang="ru-RU"/>
    </a:p>
  </c:txPr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view3D>
      <c:rAngAx val="1"/>
    </c:view3D>
    <c:plotArea>
      <c:layout>
        <c:manualLayout>
          <c:layoutTarget val="inner"/>
          <c:xMode val="edge"/>
          <c:yMode val="edge"/>
          <c:x val="0.10532448798230935"/>
          <c:y val="0.11038344816272963"/>
          <c:w val="0.86253590662011981"/>
          <c:h val="0.85586701662292264"/>
        </c:manualLayout>
      </c:layout>
      <c:bar3DChart>
        <c:barDir val="col"/>
        <c:grouping val="standard"/>
        <c:ser>
          <c:idx val="0"/>
          <c:order val="0"/>
          <c:tx>
            <c:strRef>
              <c:f>Лист1!$B$1</c:f>
              <c:strCache>
                <c:ptCount val="1"/>
                <c:pt idx="0">
                  <c:v>начало   учебного года </c:v>
                </c:pt>
              </c:strCache>
            </c:strRef>
          </c:tx>
          <c:spPr>
            <a:solidFill>
              <a:srgbClr val="FFC000"/>
            </a:solidFill>
          </c:spPr>
          <c:dLbls>
            <c:dLbl>
              <c:idx val="0"/>
              <c:layout>
                <c:manualLayout>
                  <c:x val="3.888581643829956E-2"/>
                  <c:y val="-6.0027477034120771E-2"/>
                </c:manualLayout>
              </c:layout>
              <c:showVal val="1"/>
            </c:dLbl>
            <c:txPr>
              <a:bodyPr/>
              <a:lstStyle/>
              <a:p>
                <a:pPr>
                  <a:defRPr sz="1400"/>
                </a:pPr>
                <a:endParaRPr lang="ru-RU"/>
              </a:p>
            </c:txPr>
            <c:showVal val="1"/>
          </c:dLbls>
          <c:cat>
            <c:strRef>
              <c:f>Лист1!$A$2:$A$3</c:f>
              <c:strCache>
                <c:ptCount val="2"/>
                <c:pt idx="0">
                  <c:v>       </c:v>
                </c:pt>
                <c:pt idx="1">
                  <c:v>               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 formatCode="0%">
                  <c:v>0.44</c:v>
                </c:pt>
              </c:numCache>
            </c:numRef>
          </c:val>
        </c:ser>
        <c:shape val="box"/>
        <c:axId val="90636288"/>
        <c:axId val="90637824"/>
        <c:axId val="89689152"/>
      </c:bar3DChart>
      <c:catAx>
        <c:axId val="90636288"/>
        <c:scaling>
          <c:orientation val="minMax"/>
        </c:scaling>
        <c:delete val="1"/>
        <c:axPos val="b"/>
        <c:tickLblPos val="nextTo"/>
        <c:crossAx val="90637824"/>
        <c:crosses val="autoZero"/>
        <c:auto val="1"/>
        <c:lblAlgn val="ctr"/>
        <c:lblOffset val="100"/>
      </c:catAx>
      <c:valAx>
        <c:axId val="90637824"/>
        <c:scaling>
          <c:orientation val="minMax"/>
        </c:scaling>
        <c:axPos val="l"/>
        <c:majorGridlines/>
        <c:numFmt formatCode="0%" sourceLinked="1"/>
        <c:tickLblPos val="nextTo"/>
        <c:txPr>
          <a:bodyPr/>
          <a:lstStyle/>
          <a:p>
            <a:pPr>
              <a:defRPr sz="1100" b="1">
                <a:solidFill>
                  <a:schemeClr val="accent1">
                    <a:lumMod val="50000"/>
                  </a:schemeClr>
                </a:solidFill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90636288"/>
        <c:crosses val="autoZero"/>
        <c:crossBetween val="between"/>
      </c:valAx>
      <c:serAx>
        <c:axId val="89689152"/>
        <c:scaling>
          <c:orientation val="minMax"/>
        </c:scaling>
        <c:delete val="1"/>
        <c:axPos val="b"/>
        <c:tickLblPos val="nextTo"/>
        <c:crossAx val="90637824"/>
        <c:crosses val="autoZero"/>
      </c:serAx>
    </c:plotArea>
    <c:legend>
      <c:legendPos val="r"/>
      <c:layout>
        <c:manualLayout>
          <c:xMode val="edge"/>
          <c:yMode val="edge"/>
          <c:x val="0.66484105234877222"/>
          <c:y val="0.19970595472440944"/>
          <c:w val="0.29526393452786914"/>
          <c:h val="0.64404404527559111"/>
        </c:manualLayout>
      </c:layout>
      <c:spPr>
        <a:solidFill>
          <a:schemeClr val="tx2">
            <a:lumMod val="20000"/>
            <a:lumOff val="80000"/>
          </a:schemeClr>
        </a:solidFill>
      </c:spPr>
      <c:txPr>
        <a:bodyPr/>
        <a:lstStyle/>
        <a:p>
          <a:pPr>
            <a:defRPr sz="1200" b="0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</c:chart>
  <c:spPr>
    <a:ln w="15875"/>
  </c:spPr>
  <c:txPr>
    <a:bodyPr/>
    <a:lstStyle/>
    <a:p>
      <a:pPr>
        <a:defRPr sz="1800"/>
      </a:pPr>
      <a:endParaRPr lang="ru-RU"/>
    </a:p>
  </c:tx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50677C-CCC7-4C0C-966C-4CC43C4DE3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3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26</cp:revision>
  <dcterms:created xsi:type="dcterms:W3CDTF">2021-12-03T06:08:00Z</dcterms:created>
  <dcterms:modified xsi:type="dcterms:W3CDTF">2021-12-06T15:31:00Z</dcterms:modified>
</cp:coreProperties>
</file>